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04CE" w14:textId="77777777" w:rsidR="00E6036B" w:rsidRPr="00792B76" w:rsidRDefault="00E6036B" w:rsidP="00792B76">
      <w:pPr>
        <w:spacing w:after="0"/>
        <w:jc w:val="center"/>
        <w:rPr>
          <w:color w:val="1F497D" w:themeColor="text2"/>
          <w:sz w:val="24"/>
          <w:szCs w:val="24"/>
        </w:rPr>
      </w:pPr>
      <w:r w:rsidRPr="00792B76">
        <w:rPr>
          <w:color w:val="1F497D" w:themeColor="text2"/>
          <w:sz w:val="24"/>
          <w:szCs w:val="24"/>
        </w:rPr>
        <w:t>Local Cancer MDT Lynch Champion</w:t>
      </w:r>
    </w:p>
    <w:p w14:paraId="4F5A5BA8" w14:textId="77777777" w:rsidR="00792B76" w:rsidRPr="00792B76" w:rsidRDefault="00792B76" w:rsidP="00792B76">
      <w:pPr>
        <w:spacing w:after="0"/>
        <w:rPr>
          <w:color w:val="1F497D" w:themeColor="text2"/>
          <w:sz w:val="24"/>
          <w:szCs w:val="24"/>
        </w:rPr>
      </w:pPr>
      <w:r>
        <w:rPr>
          <w:color w:val="1F497D" w:themeColor="text2"/>
          <w:sz w:val="24"/>
          <w:szCs w:val="24"/>
        </w:rPr>
        <w:t>Who they should be</w:t>
      </w:r>
    </w:p>
    <w:p w14:paraId="587B0995" w14:textId="583A569A" w:rsidR="00792B76" w:rsidRPr="00792B76" w:rsidRDefault="00725FA9" w:rsidP="00792B76">
      <w:pPr>
        <w:pStyle w:val="ListParagraph"/>
        <w:numPr>
          <w:ilvl w:val="0"/>
          <w:numId w:val="9"/>
        </w:numPr>
        <w:spacing w:after="0"/>
        <w:rPr>
          <w:sz w:val="24"/>
          <w:szCs w:val="24"/>
        </w:rPr>
      </w:pPr>
      <w:r w:rsidRPr="00792B76">
        <w:rPr>
          <w:sz w:val="24"/>
          <w:szCs w:val="24"/>
        </w:rPr>
        <w:t xml:space="preserve">A </w:t>
      </w:r>
      <w:r w:rsidR="00792B76" w:rsidRPr="00792B76">
        <w:rPr>
          <w:sz w:val="24"/>
          <w:szCs w:val="24"/>
        </w:rPr>
        <w:t xml:space="preserve">cancer MDT clinician e.g. </w:t>
      </w:r>
      <w:r w:rsidR="0051493D">
        <w:rPr>
          <w:sz w:val="24"/>
          <w:szCs w:val="24"/>
        </w:rPr>
        <w:t xml:space="preserve">gynaecologist, </w:t>
      </w:r>
      <w:r w:rsidR="008736E7">
        <w:rPr>
          <w:sz w:val="24"/>
          <w:szCs w:val="24"/>
        </w:rPr>
        <w:t>gastroenterologist, su</w:t>
      </w:r>
      <w:r w:rsidR="00792B76" w:rsidRPr="00792B76">
        <w:rPr>
          <w:sz w:val="24"/>
          <w:szCs w:val="24"/>
        </w:rPr>
        <w:t>rgeon, CNS,</w:t>
      </w:r>
      <w:r w:rsidR="008736E7">
        <w:rPr>
          <w:sz w:val="24"/>
          <w:szCs w:val="24"/>
        </w:rPr>
        <w:t xml:space="preserve"> </w:t>
      </w:r>
      <w:r w:rsidR="00792B76" w:rsidRPr="00792B76">
        <w:rPr>
          <w:sz w:val="24"/>
          <w:szCs w:val="24"/>
        </w:rPr>
        <w:t>pathologist, oncologist</w:t>
      </w:r>
    </w:p>
    <w:p w14:paraId="032B72E6" w14:textId="48B4D9BB" w:rsidR="00C33EB2" w:rsidRPr="00792B76" w:rsidRDefault="00792B76" w:rsidP="00792B76">
      <w:pPr>
        <w:pStyle w:val="ListParagraph"/>
        <w:numPr>
          <w:ilvl w:val="0"/>
          <w:numId w:val="9"/>
        </w:numPr>
        <w:spacing w:after="0"/>
        <w:rPr>
          <w:sz w:val="24"/>
          <w:szCs w:val="24"/>
        </w:rPr>
      </w:pPr>
      <w:r w:rsidRPr="00792B76">
        <w:rPr>
          <w:sz w:val="24"/>
          <w:szCs w:val="24"/>
        </w:rPr>
        <w:t>A respon</w:t>
      </w:r>
      <w:r w:rsidR="00725FA9" w:rsidRPr="00792B76">
        <w:rPr>
          <w:sz w:val="24"/>
          <w:szCs w:val="24"/>
        </w:rPr>
        <w:t xml:space="preserve">sible individual within each colorectal </w:t>
      </w:r>
      <w:r w:rsidRPr="00792B76">
        <w:rPr>
          <w:sz w:val="24"/>
          <w:szCs w:val="24"/>
        </w:rPr>
        <w:t xml:space="preserve">cancer MDT </w:t>
      </w:r>
    </w:p>
    <w:p w14:paraId="34E385E5" w14:textId="77777777" w:rsidR="00792B76" w:rsidRPr="00792B76" w:rsidRDefault="00792B76" w:rsidP="00792B76">
      <w:pPr>
        <w:spacing w:after="0"/>
        <w:rPr>
          <w:sz w:val="24"/>
          <w:szCs w:val="24"/>
        </w:rPr>
      </w:pPr>
    </w:p>
    <w:p w14:paraId="17947FB5" w14:textId="77777777" w:rsidR="00792B76" w:rsidRPr="00792B76" w:rsidRDefault="00792B76" w:rsidP="00792B76">
      <w:pPr>
        <w:spacing w:after="0"/>
        <w:rPr>
          <w:color w:val="1F497D" w:themeColor="text2"/>
          <w:sz w:val="24"/>
          <w:szCs w:val="24"/>
        </w:rPr>
      </w:pPr>
      <w:r w:rsidRPr="00792B76">
        <w:rPr>
          <w:color w:val="1F497D" w:themeColor="text2"/>
          <w:sz w:val="24"/>
          <w:szCs w:val="24"/>
        </w:rPr>
        <w:t>Where they should be</w:t>
      </w:r>
    </w:p>
    <w:p w14:paraId="36F4013F" w14:textId="515205EB" w:rsidR="00792B76" w:rsidRPr="00792B76" w:rsidRDefault="00792B76" w:rsidP="00792B76">
      <w:pPr>
        <w:pStyle w:val="ListParagraph"/>
        <w:numPr>
          <w:ilvl w:val="0"/>
          <w:numId w:val="8"/>
        </w:numPr>
        <w:spacing w:after="0"/>
        <w:rPr>
          <w:sz w:val="24"/>
          <w:szCs w:val="24"/>
        </w:rPr>
      </w:pPr>
      <w:r w:rsidRPr="00792B76">
        <w:rPr>
          <w:sz w:val="24"/>
          <w:szCs w:val="24"/>
        </w:rPr>
        <w:t xml:space="preserve">Within every local </w:t>
      </w:r>
      <w:r w:rsidR="0051493D">
        <w:rPr>
          <w:sz w:val="24"/>
          <w:szCs w:val="24"/>
        </w:rPr>
        <w:t>endometrial/</w:t>
      </w:r>
      <w:r w:rsidRPr="00792B76">
        <w:rPr>
          <w:sz w:val="24"/>
          <w:szCs w:val="24"/>
        </w:rPr>
        <w:t>CRC MDT</w:t>
      </w:r>
    </w:p>
    <w:p w14:paraId="49E09418" w14:textId="77777777" w:rsidR="00792B76" w:rsidRDefault="00792B76" w:rsidP="00792B76">
      <w:pPr>
        <w:pStyle w:val="ListParagraph"/>
        <w:numPr>
          <w:ilvl w:val="0"/>
          <w:numId w:val="8"/>
        </w:numPr>
        <w:spacing w:after="0"/>
        <w:rPr>
          <w:sz w:val="24"/>
          <w:szCs w:val="24"/>
        </w:rPr>
      </w:pPr>
      <w:r w:rsidRPr="00792B76">
        <w:rPr>
          <w:sz w:val="24"/>
          <w:szCs w:val="24"/>
        </w:rPr>
        <w:t>The exception  would be if all new cancer cases (</w:t>
      </w:r>
      <w:r w:rsidRPr="007F1679">
        <w:rPr>
          <w:sz w:val="24"/>
          <w:szCs w:val="24"/>
        </w:rPr>
        <w:t>without exception</w:t>
      </w:r>
      <w:r w:rsidRPr="00792B76">
        <w:rPr>
          <w:sz w:val="24"/>
          <w:szCs w:val="24"/>
        </w:rPr>
        <w:t>) are managed by a regional MDT, in which case the champion may be located there</w:t>
      </w:r>
    </w:p>
    <w:p w14:paraId="479E3E20" w14:textId="77777777" w:rsidR="00792B76" w:rsidRPr="00792B76" w:rsidRDefault="00792B76" w:rsidP="00792B76">
      <w:pPr>
        <w:pStyle w:val="ListParagraph"/>
        <w:numPr>
          <w:ilvl w:val="0"/>
          <w:numId w:val="8"/>
        </w:numPr>
        <w:spacing w:after="0"/>
        <w:rPr>
          <w:sz w:val="24"/>
          <w:szCs w:val="24"/>
        </w:rPr>
      </w:pPr>
      <w:r>
        <w:rPr>
          <w:sz w:val="24"/>
          <w:szCs w:val="24"/>
        </w:rPr>
        <w:t>They will be linked to a regional expert service, but should not be expected to deliver a regional service themselves (i.e. they are managing their own patients only)</w:t>
      </w:r>
    </w:p>
    <w:p w14:paraId="1CC23090" w14:textId="77777777" w:rsidR="00725FA9" w:rsidRPr="00792B76" w:rsidRDefault="00725FA9" w:rsidP="00792B76">
      <w:pPr>
        <w:spacing w:after="0"/>
        <w:rPr>
          <w:sz w:val="24"/>
          <w:szCs w:val="24"/>
        </w:rPr>
      </w:pPr>
    </w:p>
    <w:p w14:paraId="60CDBD1B" w14:textId="77777777" w:rsidR="00725FA9" w:rsidRPr="00792B76" w:rsidRDefault="00725FA9" w:rsidP="00792B76">
      <w:pPr>
        <w:spacing w:after="0"/>
        <w:rPr>
          <w:color w:val="1F497D" w:themeColor="text2"/>
          <w:sz w:val="24"/>
          <w:szCs w:val="24"/>
        </w:rPr>
      </w:pPr>
      <w:r w:rsidRPr="00792B76">
        <w:rPr>
          <w:color w:val="1F497D" w:themeColor="text2"/>
          <w:sz w:val="24"/>
          <w:szCs w:val="24"/>
        </w:rPr>
        <w:t>Role</w:t>
      </w:r>
      <w:r w:rsidR="00792B76" w:rsidRPr="00792B76">
        <w:rPr>
          <w:color w:val="1F497D" w:themeColor="text2"/>
          <w:sz w:val="24"/>
          <w:szCs w:val="24"/>
        </w:rPr>
        <w:t>s and responsibilities</w:t>
      </w:r>
    </w:p>
    <w:p w14:paraId="4FDCA8DF" w14:textId="77777777" w:rsidR="00C33EB2" w:rsidRPr="00792B76" w:rsidRDefault="00792B76" w:rsidP="00792B76">
      <w:pPr>
        <w:pStyle w:val="ListParagraph"/>
        <w:numPr>
          <w:ilvl w:val="0"/>
          <w:numId w:val="7"/>
        </w:numPr>
        <w:spacing w:after="0"/>
        <w:rPr>
          <w:sz w:val="24"/>
          <w:szCs w:val="24"/>
        </w:rPr>
      </w:pPr>
      <w:r w:rsidRPr="00792B76">
        <w:rPr>
          <w:sz w:val="24"/>
          <w:szCs w:val="24"/>
        </w:rPr>
        <w:t>Ensure delivery of NICE DG27 or DG42 i.e. universal testing for Lynch syndrome for newly diagnosed patients</w:t>
      </w:r>
    </w:p>
    <w:p w14:paraId="5F475AB6" w14:textId="77777777" w:rsidR="00C33EB2" w:rsidRPr="00792B76" w:rsidRDefault="00792B76" w:rsidP="00792B76">
      <w:pPr>
        <w:numPr>
          <w:ilvl w:val="1"/>
          <w:numId w:val="1"/>
        </w:numPr>
        <w:spacing w:after="0"/>
        <w:rPr>
          <w:sz w:val="24"/>
          <w:szCs w:val="24"/>
        </w:rPr>
      </w:pPr>
      <w:r w:rsidRPr="00792B76">
        <w:rPr>
          <w:sz w:val="24"/>
          <w:szCs w:val="24"/>
        </w:rPr>
        <w:t>Allocate specific responsibilities within their team</w:t>
      </w:r>
    </w:p>
    <w:p w14:paraId="4F6FE0F1" w14:textId="77777777" w:rsidR="00C33EB2" w:rsidRPr="00792B76" w:rsidRDefault="00792B76" w:rsidP="00792B76">
      <w:pPr>
        <w:numPr>
          <w:ilvl w:val="1"/>
          <w:numId w:val="1"/>
        </w:numPr>
        <w:spacing w:after="0"/>
        <w:rPr>
          <w:sz w:val="24"/>
          <w:szCs w:val="24"/>
        </w:rPr>
      </w:pPr>
      <w:r w:rsidRPr="00792B76">
        <w:rPr>
          <w:sz w:val="24"/>
          <w:szCs w:val="24"/>
        </w:rPr>
        <w:t xml:space="preserve">Eligible patients are referred for genetic testing </w:t>
      </w:r>
      <w:r w:rsidRPr="00792B76">
        <w:rPr>
          <w:sz w:val="24"/>
          <w:szCs w:val="24"/>
          <w:u w:val="single"/>
        </w:rPr>
        <w:t>OR</w:t>
      </w:r>
      <w:r w:rsidRPr="00792B76">
        <w:rPr>
          <w:sz w:val="24"/>
          <w:szCs w:val="24"/>
        </w:rPr>
        <w:t xml:space="preserve"> offered genetic testing locally via ‘mainstreaming’</w:t>
      </w:r>
      <w:r w:rsidR="00725FA9" w:rsidRPr="00792B76">
        <w:rPr>
          <w:sz w:val="24"/>
          <w:szCs w:val="24"/>
        </w:rPr>
        <w:t xml:space="preserve"> pathway</w:t>
      </w:r>
    </w:p>
    <w:p w14:paraId="12155BD0" w14:textId="77777777" w:rsidR="00C33EB2" w:rsidRPr="00792B76" w:rsidRDefault="00792B76" w:rsidP="00792B76">
      <w:pPr>
        <w:numPr>
          <w:ilvl w:val="0"/>
          <w:numId w:val="1"/>
        </w:numPr>
        <w:spacing w:after="0"/>
        <w:rPr>
          <w:sz w:val="24"/>
          <w:szCs w:val="24"/>
        </w:rPr>
      </w:pPr>
      <w:r w:rsidRPr="00792B76">
        <w:rPr>
          <w:sz w:val="24"/>
          <w:szCs w:val="24"/>
        </w:rPr>
        <w:t>Link to regional network via cancer/genomic alliance</w:t>
      </w:r>
    </w:p>
    <w:p w14:paraId="5870015E" w14:textId="77777777" w:rsidR="00C33EB2" w:rsidRPr="00792B76" w:rsidRDefault="00792B76" w:rsidP="00792B76">
      <w:pPr>
        <w:numPr>
          <w:ilvl w:val="1"/>
          <w:numId w:val="1"/>
        </w:numPr>
        <w:spacing w:after="0"/>
        <w:rPr>
          <w:sz w:val="24"/>
          <w:szCs w:val="24"/>
        </w:rPr>
      </w:pPr>
      <w:r w:rsidRPr="00792B76">
        <w:rPr>
          <w:sz w:val="24"/>
          <w:szCs w:val="24"/>
        </w:rPr>
        <w:t>Streamline referrals i.e. ensure a robust mechanism for referrals is implemented</w:t>
      </w:r>
    </w:p>
    <w:p w14:paraId="5BF165F0" w14:textId="77777777" w:rsidR="00792B76" w:rsidRPr="00792B76" w:rsidRDefault="00792B76" w:rsidP="00792B76">
      <w:pPr>
        <w:numPr>
          <w:ilvl w:val="1"/>
          <w:numId w:val="1"/>
        </w:numPr>
        <w:spacing w:after="0"/>
        <w:rPr>
          <w:sz w:val="24"/>
          <w:szCs w:val="24"/>
        </w:rPr>
      </w:pPr>
      <w:r w:rsidRPr="00792B76">
        <w:rPr>
          <w:sz w:val="24"/>
          <w:szCs w:val="24"/>
        </w:rPr>
        <w:t>Refer new Lynch syndrome patients for colonoscopic surveillance</w:t>
      </w:r>
    </w:p>
    <w:p w14:paraId="56E08C84" w14:textId="77777777" w:rsidR="00C33EB2" w:rsidRPr="00792B76" w:rsidRDefault="00792B76" w:rsidP="00792B76">
      <w:pPr>
        <w:numPr>
          <w:ilvl w:val="1"/>
          <w:numId w:val="1"/>
        </w:numPr>
        <w:spacing w:after="0"/>
        <w:rPr>
          <w:sz w:val="24"/>
          <w:szCs w:val="24"/>
        </w:rPr>
      </w:pPr>
      <w:r w:rsidRPr="00792B76">
        <w:rPr>
          <w:sz w:val="24"/>
          <w:szCs w:val="24"/>
        </w:rPr>
        <w:t>Complex case management: can be discussed with regional centre</w:t>
      </w:r>
    </w:p>
    <w:p w14:paraId="40D4B810" w14:textId="77777777" w:rsidR="00C33EB2" w:rsidRPr="00792B76" w:rsidRDefault="00792B76" w:rsidP="00792B76">
      <w:pPr>
        <w:numPr>
          <w:ilvl w:val="0"/>
          <w:numId w:val="1"/>
        </w:numPr>
        <w:spacing w:after="0"/>
        <w:rPr>
          <w:sz w:val="24"/>
          <w:szCs w:val="24"/>
        </w:rPr>
      </w:pPr>
      <w:r w:rsidRPr="00792B76">
        <w:rPr>
          <w:sz w:val="24"/>
          <w:szCs w:val="24"/>
        </w:rPr>
        <w:t>Training</w:t>
      </w:r>
    </w:p>
    <w:p w14:paraId="3BA61A33" w14:textId="02A25A40" w:rsidR="00C33EB2" w:rsidRDefault="00792B76" w:rsidP="00792B76">
      <w:pPr>
        <w:numPr>
          <w:ilvl w:val="1"/>
          <w:numId w:val="1"/>
        </w:numPr>
        <w:spacing w:after="0"/>
        <w:rPr>
          <w:sz w:val="24"/>
          <w:szCs w:val="24"/>
        </w:rPr>
      </w:pPr>
      <w:r w:rsidRPr="00792B76">
        <w:rPr>
          <w:sz w:val="24"/>
          <w:szCs w:val="24"/>
        </w:rPr>
        <w:t>Complete short online training modules</w:t>
      </w:r>
    </w:p>
    <w:p w14:paraId="296CF635" w14:textId="535E4DC6" w:rsidR="008736E7" w:rsidRDefault="00CF5565" w:rsidP="008736E7">
      <w:pPr>
        <w:spacing w:after="0"/>
        <w:ind w:left="1440"/>
        <w:rPr>
          <w:sz w:val="24"/>
          <w:szCs w:val="24"/>
        </w:rPr>
      </w:pPr>
      <w:r>
        <w:t xml:space="preserve">Colorectal cancer MDT: </w:t>
      </w:r>
      <w:hyperlink r:id="rId5" w:history="1">
        <w:r w:rsidRPr="00A4454E">
          <w:rPr>
            <w:rStyle w:val="Hyperlink"/>
            <w:sz w:val="24"/>
            <w:szCs w:val="24"/>
          </w:rPr>
          <w:t>https://rmpartners.nhs.uk/lynch-syndrome-early-diagnosis-pathway/</w:t>
        </w:r>
      </w:hyperlink>
      <w:r w:rsidR="008736E7">
        <w:rPr>
          <w:sz w:val="24"/>
          <w:szCs w:val="24"/>
        </w:rPr>
        <w:t xml:space="preserve"> </w:t>
      </w:r>
    </w:p>
    <w:p w14:paraId="63DA7780" w14:textId="52443914" w:rsidR="00CF5565" w:rsidRPr="00792B76" w:rsidRDefault="00CF5565" w:rsidP="008736E7">
      <w:pPr>
        <w:spacing w:after="0"/>
        <w:ind w:left="1440"/>
        <w:rPr>
          <w:sz w:val="24"/>
          <w:szCs w:val="24"/>
        </w:rPr>
      </w:pPr>
      <w:r>
        <w:rPr>
          <w:sz w:val="24"/>
          <w:szCs w:val="24"/>
        </w:rPr>
        <w:t xml:space="preserve">Gynae cancer MDT: </w:t>
      </w:r>
      <w:hyperlink r:id="rId6" w:history="1">
        <w:r w:rsidRPr="00A4454E">
          <w:rPr>
            <w:rStyle w:val="Hyperlink"/>
            <w:sz w:val="24"/>
            <w:szCs w:val="24"/>
          </w:rPr>
          <w:t>https://rmpartners.nhs.uk/lynch-syndrome-early-diagnosis-pathway-endometrial/</w:t>
        </w:r>
      </w:hyperlink>
      <w:r>
        <w:rPr>
          <w:sz w:val="24"/>
          <w:szCs w:val="24"/>
        </w:rPr>
        <w:t xml:space="preserve"> </w:t>
      </w:r>
    </w:p>
    <w:p w14:paraId="6E47EEF1" w14:textId="77777777" w:rsidR="00C33EB2" w:rsidRPr="00792B76" w:rsidRDefault="00792B76" w:rsidP="00792B76">
      <w:pPr>
        <w:numPr>
          <w:ilvl w:val="1"/>
          <w:numId w:val="1"/>
        </w:numPr>
        <w:spacing w:after="0"/>
        <w:rPr>
          <w:sz w:val="24"/>
          <w:szCs w:val="24"/>
        </w:rPr>
      </w:pPr>
      <w:r w:rsidRPr="00792B76">
        <w:rPr>
          <w:sz w:val="24"/>
          <w:szCs w:val="24"/>
        </w:rPr>
        <w:t>2-yearly focused CPD delivered by regional expert centre</w:t>
      </w:r>
    </w:p>
    <w:p w14:paraId="58A67A47" w14:textId="77777777" w:rsidR="00725FA9" w:rsidRPr="00792B76" w:rsidRDefault="00725FA9" w:rsidP="00792B76">
      <w:pPr>
        <w:spacing w:after="0"/>
        <w:rPr>
          <w:sz w:val="24"/>
          <w:szCs w:val="24"/>
        </w:rPr>
      </w:pPr>
    </w:p>
    <w:p w14:paraId="05ADD0D6" w14:textId="77777777" w:rsidR="00725FA9" w:rsidRPr="00792B76" w:rsidRDefault="00725FA9" w:rsidP="00792B76">
      <w:pPr>
        <w:spacing w:after="0"/>
        <w:ind w:left="709" w:hanging="709"/>
        <w:rPr>
          <w:rFonts w:eastAsia="Calibri" w:cs="Arial"/>
          <w:color w:val="1F497D" w:themeColor="text2"/>
          <w:sz w:val="24"/>
          <w:szCs w:val="24"/>
        </w:rPr>
      </w:pPr>
      <w:r w:rsidRPr="00792B76">
        <w:rPr>
          <w:rFonts w:eastAsia="Calibri" w:cs="Arial"/>
          <w:color w:val="1F497D" w:themeColor="text2"/>
          <w:sz w:val="24"/>
          <w:szCs w:val="24"/>
        </w:rPr>
        <w:t>General Principles</w:t>
      </w:r>
    </w:p>
    <w:p w14:paraId="78314973" w14:textId="511943FC" w:rsidR="00725FA9" w:rsidRPr="00792B76" w:rsidRDefault="00725FA9" w:rsidP="00792B76">
      <w:pPr>
        <w:numPr>
          <w:ilvl w:val="0"/>
          <w:numId w:val="2"/>
        </w:numPr>
        <w:spacing w:after="0"/>
        <w:ind w:left="426"/>
        <w:contextualSpacing/>
        <w:rPr>
          <w:rFonts w:eastAsia="Calibri" w:cs="Arial"/>
          <w:sz w:val="24"/>
          <w:szCs w:val="24"/>
        </w:rPr>
      </w:pPr>
      <w:r w:rsidRPr="00792B76">
        <w:rPr>
          <w:rFonts w:eastAsia="Calibri" w:cs="Arial"/>
          <w:sz w:val="24"/>
          <w:szCs w:val="24"/>
        </w:rPr>
        <w:t xml:space="preserve">All newly diagnosed </w:t>
      </w:r>
      <w:r w:rsidR="0051493D">
        <w:rPr>
          <w:rFonts w:eastAsia="Calibri" w:cs="Arial"/>
          <w:sz w:val="24"/>
          <w:szCs w:val="24"/>
        </w:rPr>
        <w:t>endometrial/</w:t>
      </w:r>
      <w:r w:rsidRPr="00792B76">
        <w:rPr>
          <w:rFonts w:eastAsia="Calibri" w:cs="Arial"/>
          <w:sz w:val="24"/>
          <w:szCs w:val="24"/>
        </w:rPr>
        <w:t>CRC patients who are identified as likely to have Lynch Syndrome should be referred for genetic testing (either locally or specialised genetics centre) in line with NICE guidelines DG27 and DG42.</w:t>
      </w:r>
    </w:p>
    <w:p w14:paraId="15DBCB53" w14:textId="77777777" w:rsidR="00725FA9" w:rsidRPr="00792B76" w:rsidRDefault="00725FA9" w:rsidP="00792B76">
      <w:pPr>
        <w:numPr>
          <w:ilvl w:val="0"/>
          <w:numId w:val="2"/>
        </w:numPr>
        <w:spacing w:after="0"/>
        <w:ind w:left="426"/>
        <w:contextualSpacing/>
        <w:rPr>
          <w:rFonts w:eastAsia="Calibri" w:cs="Arial"/>
          <w:sz w:val="24"/>
          <w:szCs w:val="24"/>
        </w:rPr>
      </w:pPr>
      <w:r w:rsidRPr="00792B76">
        <w:rPr>
          <w:rFonts w:eastAsia="Calibri" w:cs="Arial"/>
          <w:sz w:val="24"/>
          <w:szCs w:val="24"/>
        </w:rPr>
        <w:t>Each cancer MDT should identify a responsible local lead for the Lynch diagnostic pathway (a ‘Lynch champion’), who may identify specific tasks for others within the MDT.</w:t>
      </w:r>
    </w:p>
    <w:p w14:paraId="2C13DD16" w14:textId="77777777" w:rsidR="00725FA9" w:rsidRPr="00792B76" w:rsidRDefault="00725FA9" w:rsidP="00792B76">
      <w:pPr>
        <w:numPr>
          <w:ilvl w:val="0"/>
          <w:numId w:val="2"/>
        </w:numPr>
        <w:spacing w:after="0"/>
        <w:ind w:left="426"/>
        <w:contextualSpacing/>
        <w:rPr>
          <w:rFonts w:eastAsia="Calibri" w:cs="Arial"/>
          <w:sz w:val="24"/>
          <w:szCs w:val="24"/>
        </w:rPr>
      </w:pPr>
      <w:r w:rsidRPr="00792B76">
        <w:rPr>
          <w:rFonts w:eastAsia="Calibri" w:cs="Arial"/>
          <w:sz w:val="24"/>
          <w:szCs w:val="24"/>
        </w:rPr>
        <w:t>Each cancer MDT is responsible for the delivery of the pathway locally. To deliver this pathway each cancer MDT should work with regional genetics expert centres/GMSAs.</w:t>
      </w:r>
    </w:p>
    <w:p w14:paraId="111555BC" w14:textId="77777777" w:rsidR="00725FA9" w:rsidRPr="00792B76" w:rsidRDefault="00725FA9" w:rsidP="00792B76">
      <w:pPr>
        <w:numPr>
          <w:ilvl w:val="0"/>
          <w:numId w:val="2"/>
        </w:numPr>
        <w:spacing w:after="0"/>
        <w:ind w:left="426"/>
        <w:contextualSpacing/>
        <w:rPr>
          <w:rFonts w:eastAsia="Calibri" w:cs="Arial"/>
          <w:sz w:val="24"/>
          <w:szCs w:val="24"/>
        </w:rPr>
      </w:pPr>
      <w:r w:rsidRPr="00792B76">
        <w:rPr>
          <w:rFonts w:eastAsia="Calibri" w:cs="Arial"/>
          <w:sz w:val="24"/>
          <w:szCs w:val="24"/>
        </w:rPr>
        <w:lastRenderedPageBreak/>
        <w:t>Each MDT should choose to offer either genetic testing via ‘mainstreaming’ (Cancer MDT clinician designated by the national testing directory) or referring patients to their linked genetics centre.  Thus local cancer MDTs should aim to achieve either</w:t>
      </w:r>
    </w:p>
    <w:p w14:paraId="7A86BE5F" w14:textId="77777777" w:rsidR="00725FA9" w:rsidRPr="00792B76" w:rsidRDefault="00725FA9" w:rsidP="00792B76">
      <w:pPr>
        <w:numPr>
          <w:ilvl w:val="1"/>
          <w:numId w:val="2"/>
        </w:numPr>
        <w:spacing w:after="0"/>
        <w:ind w:left="851"/>
        <w:contextualSpacing/>
        <w:rPr>
          <w:rFonts w:eastAsia="Calibri" w:cs="Arial"/>
          <w:b/>
          <w:sz w:val="24"/>
          <w:szCs w:val="24"/>
        </w:rPr>
      </w:pPr>
      <w:r w:rsidRPr="00792B76">
        <w:rPr>
          <w:rFonts w:eastAsia="Calibri" w:cs="Arial"/>
          <w:sz w:val="24"/>
          <w:szCs w:val="24"/>
        </w:rPr>
        <w:t xml:space="preserve">Timely referral of patients for genetic testing only </w:t>
      </w:r>
      <w:r w:rsidRPr="00792B76">
        <w:rPr>
          <w:rFonts w:eastAsia="Calibri" w:cs="Arial"/>
          <w:sz w:val="24"/>
          <w:szCs w:val="24"/>
          <w:u w:val="single"/>
        </w:rPr>
        <w:t>after</w:t>
      </w:r>
      <w:r w:rsidRPr="00792B76">
        <w:rPr>
          <w:rFonts w:eastAsia="Calibri" w:cs="Arial"/>
          <w:sz w:val="24"/>
          <w:szCs w:val="24"/>
        </w:rPr>
        <w:t xml:space="preserve"> completion of IHC +/- methylation testing, </w:t>
      </w:r>
      <w:r w:rsidRPr="00792B76">
        <w:rPr>
          <w:rFonts w:eastAsia="Calibri" w:cs="Arial"/>
          <w:b/>
          <w:sz w:val="24"/>
          <w:szCs w:val="24"/>
        </w:rPr>
        <w:t>or</w:t>
      </w:r>
    </w:p>
    <w:p w14:paraId="1E4241BE" w14:textId="77777777" w:rsidR="00725FA9" w:rsidRPr="00725281" w:rsidRDefault="00725FA9" w:rsidP="00792B76">
      <w:pPr>
        <w:numPr>
          <w:ilvl w:val="1"/>
          <w:numId w:val="2"/>
        </w:numPr>
        <w:spacing w:after="0"/>
        <w:ind w:left="851"/>
        <w:contextualSpacing/>
        <w:rPr>
          <w:rFonts w:eastAsia="Calibri" w:cs="Arial"/>
          <w:b/>
          <w:sz w:val="24"/>
          <w:szCs w:val="24"/>
        </w:rPr>
      </w:pPr>
      <w:r w:rsidRPr="00792B76">
        <w:rPr>
          <w:rFonts w:eastAsia="Calibri" w:cs="Arial"/>
          <w:sz w:val="24"/>
          <w:szCs w:val="24"/>
        </w:rPr>
        <w:t>Mainstreaming of genetic testing ‘in-house’</w:t>
      </w:r>
    </w:p>
    <w:p w14:paraId="3B24839B" w14:textId="77777777" w:rsidR="00725281" w:rsidRDefault="00725281" w:rsidP="00725281">
      <w:pPr>
        <w:spacing w:after="0"/>
        <w:contextualSpacing/>
        <w:rPr>
          <w:rFonts w:eastAsia="Calibri" w:cs="Arial"/>
          <w:sz w:val="24"/>
          <w:szCs w:val="24"/>
        </w:rPr>
      </w:pPr>
    </w:p>
    <w:p w14:paraId="02D9AD79" w14:textId="25981CB3" w:rsidR="00725281" w:rsidRDefault="00725281" w:rsidP="00725281">
      <w:pPr>
        <w:spacing w:after="0"/>
        <w:contextualSpacing/>
        <w:rPr>
          <w:rFonts w:eastAsia="Calibri" w:cs="Arial"/>
          <w:sz w:val="24"/>
          <w:szCs w:val="24"/>
        </w:rPr>
      </w:pPr>
      <w:r>
        <w:rPr>
          <w:rFonts w:eastAsia="Calibri" w:cs="Arial"/>
          <w:sz w:val="24"/>
          <w:szCs w:val="24"/>
        </w:rPr>
        <w:t>Other Resource: Pathway model from NSHE for cancer MDTs</w:t>
      </w:r>
    </w:p>
    <w:p w14:paraId="6094BF53" w14:textId="699771F4" w:rsidR="00725281" w:rsidRDefault="00CF5565" w:rsidP="00725281">
      <w:pPr>
        <w:spacing w:after="0"/>
        <w:contextualSpacing/>
        <w:rPr>
          <w:rFonts w:eastAsia="Calibri" w:cs="Arial"/>
          <w:b/>
          <w:sz w:val="24"/>
          <w:szCs w:val="24"/>
        </w:rPr>
      </w:pPr>
      <w:hyperlink r:id="rId7" w:history="1">
        <w:r w:rsidR="00725281" w:rsidRPr="00B77143">
          <w:rPr>
            <w:rStyle w:val="Hyperlink"/>
            <w:rFonts w:eastAsia="Calibri" w:cs="Arial"/>
            <w:b/>
            <w:sz w:val="24"/>
            <w:szCs w:val="24"/>
          </w:rPr>
          <w:t>https://www.england.nhs.uk/publication/implementing-lynch-syndrome-testing-and-surveillance-pathways/</w:t>
        </w:r>
      </w:hyperlink>
      <w:r w:rsidR="00725281">
        <w:rPr>
          <w:rFonts w:eastAsia="Calibri" w:cs="Arial"/>
          <w:b/>
          <w:sz w:val="24"/>
          <w:szCs w:val="24"/>
        </w:rPr>
        <w:t xml:space="preserve"> </w:t>
      </w:r>
    </w:p>
    <w:p w14:paraId="7CF73AE9" w14:textId="2C39DD26" w:rsidR="00652451" w:rsidRPr="00792B76" w:rsidRDefault="00652451" w:rsidP="00725281">
      <w:pPr>
        <w:spacing w:after="0"/>
        <w:contextualSpacing/>
        <w:rPr>
          <w:rFonts w:eastAsia="Calibri" w:cs="Arial"/>
          <w:b/>
          <w:sz w:val="24"/>
          <w:szCs w:val="24"/>
        </w:rPr>
      </w:pPr>
      <w:r>
        <w:rPr>
          <w:lang w:val="en-US"/>
        </w:rPr>
        <w:t>This handbook sets out guidance to support local systems to implement Lynch syndrome pathways nationally for both colorectal and endometrial cancer. It is intended to be helpful and set out best practice, but of course will need to be adapted to local circumstances.</w:t>
      </w:r>
    </w:p>
    <w:p w14:paraId="6EE0D9FB" w14:textId="77777777" w:rsidR="00725FA9" w:rsidRPr="00792B76" w:rsidRDefault="00725FA9" w:rsidP="00792B76">
      <w:pPr>
        <w:spacing w:after="0"/>
        <w:rPr>
          <w:sz w:val="24"/>
          <w:szCs w:val="24"/>
        </w:rPr>
      </w:pPr>
    </w:p>
    <w:p w14:paraId="431768B8" w14:textId="77777777" w:rsidR="00DD025D" w:rsidRPr="00792B76" w:rsidRDefault="00DD025D" w:rsidP="00792B76">
      <w:pPr>
        <w:spacing w:after="0"/>
        <w:rPr>
          <w:sz w:val="24"/>
          <w:szCs w:val="24"/>
        </w:rPr>
      </w:pPr>
    </w:p>
    <w:sectPr w:rsidR="00DD025D" w:rsidRPr="00792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977"/>
    <w:multiLevelType w:val="hybridMultilevel"/>
    <w:tmpl w:val="48903234"/>
    <w:lvl w:ilvl="0" w:tplc="54166AA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362"/>
    <w:multiLevelType w:val="hybridMultilevel"/>
    <w:tmpl w:val="463AB1C8"/>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1B">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11EA0436"/>
    <w:multiLevelType w:val="hybridMultilevel"/>
    <w:tmpl w:val="5590ED30"/>
    <w:lvl w:ilvl="0" w:tplc="54166AA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15170"/>
    <w:multiLevelType w:val="hybridMultilevel"/>
    <w:tmpl w:val="050A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654C9"/>
    <w:multiLevelType w:val="hybridMultilevel"/>
    <w:tmpl w:val="C0DAECC2"/>
    <w:lvl w:ilvl="0" w:tplc="54166AA0">
      <w:start w:val="1"/>
      <w:numFmt w:val="bullet"/>
      <w:lvlText w:val="•"/>
      <w:lvlJc w:val="left"/>
      <w:pPr>
        <w:tabs>
          <w:tab w:val="num" w:pos="720"/>
        </w:tabs>
        <w:ind w:left="720" w:hanging="360"/>
      </w:pPr>
      <w:rPr>
        <w:rFonts w:ascii="Times New Roman" w:hAnsi="Times New Roman" w:hint="default"/>
      </w:rPr>
    </w:lvl>
    <w:lvl w:ilvl="1" w:tplc="F70E79F0">
      <w:start w:val="2400"/>
      <w:numFmt w:val="bullet"/>
      <w:lvlText w:val="•"/>
      <w:lvlJc w:val="left"/>
      <w:pPr>
        <w:tabs>
          <w:tab w:val="num" w:pos="1440"/>
        </w:tabs>
        <w:ind w:left="1440" w:hanging="360"/>
      </w:pPr>
      <w:rPr>
        <w:rFonts w:ascii="Times New Roman" w:hAnsi="Times New Roman" w:hint="default"/>
      </w:rPr>
    </w:lvl>
    <w:lvl w:ilvl="2" w:tplc="7EBECD10" w:tentative="1">
      <w:start w:val="1"/>
      <w:numFmt w:val="bullet"/>
      <w:lvlText w:val="•"/>
      <w:lvlJc w:val="left"/>
      <w:pPr>
        <w:tabs>
          <w:tab w:val="num" w:pos="2160"/>
        </w:tabs>
        <w:ind w:left="2160" w:hanging="360"/>
      </w:pPr>
      <w:rPr>
        <w:rFonts w:ascii="Times New Roman" w:hAnsi="Times New Roman" w:hint="default"/>
      </w:rPr>
    </w:lvl>
    <w:lvl w:ilvl="3" w:tplc="5E426918" w:tentative="1">
      <w:start w:val="1"/>
      <w:numFmt w:val="bullet"/>
      <w:lvlText w:val="•"/>
      <w:lvlJc w:val="left"/>
      <w:pPr>
        <w:tabs>
          <w:tab w:val="num" w:pos="2880"/>
        </w:tabs>
        <w:ind w:left="2880" w:hanging="360"/>
      </w:pPr>
      <w:rPr>
        <w:rFonts w:ascii="Times New Roman" w:hAnsi="Times New Roman" w:hint="default"/>
      </w:rPr>
    </w:lvl>
    <w:lvl w:ilvl="4" w:tplc="1DB86A7C" w:tentative="1">
      <w:start w:val="1"/>
      <w:numFmt w:val="bullet"/>
      <w:lvlText w:val="•"/>
      <w:lvlJc w:val="left"/>
      <w:pPr>
        <w:tabs>
          <w:tab w:val="num" w:pos="3600"/>
        </w:tabs>
        <w:ind w:left="3600" w:hanging="360"/>
      </w:pPr>
      <w:rPr>
        <w:rFonts w:ascii="Times New Roman" w:hAnsi="Times New Roman" w:hint="default"/>
      </w:rPr>
    </w:lvl>
    <w:lvl w:ilvl="5" w:tplc="8A5C5BCA" w:tentative="1">
      <w:start w:val="1"/>
      <w:numFmt w:val="bullet"/>
      <w:lvlText w:val="•"/>
      <w:lvlJc w:val="left"/>
      <w:pPr>
        <w:tabs>
          <w:tab w:val="num" w:pos="4320"/>
        </w:tabs>
        <w:ind w:left="4320" w:hanging="360"/>
      </w:pPr>
      <w:rPr>
        <w:rFonts w:ascii="Times New Roman" w:hAnsi="Times New Roman" w:hint="default"/>
      </w:rPr>
    </w:lvl>
    <w:lvl w:ilvl="6" w:tplc="E1123106" w:tentative="1">
      <w:start w:val="1"/>
      <w:numFmt w:val="bullet"/>
      <w:lvlText w:val="•"/>
      <w:lvlJc w:val="left"/>
      <w:pPr>
        <w:tabs>
          <w:tab w:val="num" w:pos="5040"/>
        </w:tabs>
        <w:ind w:left="5040" w:hanging="360"/>
      </w:pPr>
      <w:rPr>
        <w:rFonts w:ascii="Times New Roman" w:hAnsi="Times New Roman" w:hint="default"/>
      </w:rPr>
    </w:lvl>
    <w:lvl w:ilvl="7" w:tplc="37A0643A" w:tentative="1">
      <w:start w:val="1"/>
      <w:numFmt w:val="bullet"/>
      <w:lvlText w:val="•"/>
      <w:lvlJc w:val="left"/>
      <w:pPr>
        <w:tabs>
          <w:tab w:val="num" w:pos="5760"/>
        </w:tabs>
        <w:ind w:left="5760" w:hanging="360"/>
      </w:pPr>
      <w:rPr>
        <w:rFonts w:ascii="Times New Roman" w:hAnsi="Times New Roman" w:hint="default"/>
      </w:rPr>
    </w:lvl>
    <w:lvl w:ilvl="8" w:tplc="6554C4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A2F031F"/>
    <w:multiLevelType w:val="hybridMultilevel"/>
    <w:tmpl w:val="F5C0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C7938"/>
    <w:multiLevelType w:val="hybridMultilevel"/>
    <w:tmpl w:val="42B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21897"/>
    <w:multiLevelType w:val="hybridMultilevel"/>
    <w:tmpl w:val="FF5C05AC"/>
    <w:lvl w:ilvl="0" w:tplc="54166AA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B3BE9"/>
    <w:multiLevelType w:val="hybridMultilevel"/>
    <w:tmpl w:val="0FBE3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3"/>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6B"/>
    <w:rsid w:val="003A1B74"/>
    <w:rsid w:val="0051493D"/>
    <w:rsid w:val="00652451"/>
    <w:rsid w:val="00725281"/>
    <w:rsid w:val="00725FA9"/>
    <w:rsid w:val="00792B76"/>
    <w:rsid w:val="007F1679"/>
    <w:rsid w:val="008736E7"/>
    <w:rsid w:val="00981B0A"/>
    <w:rsid w:val="009B5D48"/>
    <w:rsid w:val="00C33EB2"/>
    <w:rsid w:val="00CF5565"/>
    <w:rsid w:val="00DD025D"/>
    <w:rsid w:val="00E60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D774"/>
  <w15:docId w15:val="{D8525B83-919F-4392-BC4A-73B5BF15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A9"/>
    <w:pPr>
      <w:ind w:left="720"/>
      <w:contextualSpacing/>
    </w:pPr>
  </w:style>
  <w:style w:type="character" w:styleId="Hyperlink">
    <w:name w:val="Hyperlink"/>
    <w:basedOn w:val="DefaultParagraphFont"/>
    <w:uiPriority w:val="99"/>
    <w:unhideWhenUsed/>
    <w:rsid w:val="008736E7"/>
    <w:rPr>
      <w:color w:val="0000FF" w:themeColor="hyperlink"/>
      <w:u w:val="single"/>
    </w:rPr>
  </w:style>
  <w:style w:type="character" w:customStyle="1" w:styleId="UnresolvedMention1">
    <w:name w:val="Unresolved Mention1"/>
    <w:basedOn w:val="DefaultParagraphFont"/>
    <w:uiPriority w:val="99"/>
    <w:semiHidden/>
    <w:unhideWhenUsed/>
    <w:rsid w:val="008736E7"/>
    <w:rPr>
      <w:color w:val="605E5C"/>
      <w:shd w:val="clear" w:color="auto" w:fill="E1DFDD"/>
    </w:rPr>
  </w:style>
  <w:style w:type="character" w:styleId="FollowedHyperlink">
    <w:name w:val="FollowedHyperlink"/>
    <w:basedOn w:val="DefaultParagraphFont"/>
    <w:uiPriority w:val="99"/>
    <w:semiHidden/>
    <w:unhideWhenUsed/>
    <w:rsid w:val="008736E7"/>
    <w:rPr>
      <w:color w:val="800080" w:themeColor="followedHyperlink"/>
      <w:u w:val="single"/>
    </w:rPr>
  </w:style>
  <w:style w:type="character" w:styleId="UnresolvedMention">
    <w:name w:val="Unresolved Mention"/>
    <w:basedOn w:val="DefaultParagraphFont"/>
    <w:uiPriority w:val="99"/>
    <w:semiHidden/>
    <w:unhideWhenUsed/>
    <w:rsid w:val="00CF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536381">
      <w:bodyDiv w:val="1"/>
      <w:marLeft w:val="0"/>
      <w:marRight w:val="0"/>
      <w:marTop w:val="0"/>
      <w:marBottom w:val="0"/>
      <w:divBdr>
        <w:top w:val="none" w:sz="0" w:space="0" w:color="auto"/>
        <w:left w:val="none" w:sz="0" w:space="0" w:color="auto"/>
        <w:bottom w:val="none" w:sz="0" w:space="0" w:color="auto"/>
        <w:right w:val="none" w:sz="0" w:space="0" w:color="auto"/>
      </w:divBdr>
      <w:divsChild>
        <w:div w:id="387341057">
          <w:marLeft w:val="547"/>
          <w:marRight w:val="0"/>
          <w:marTop w:val="0"/>
          <w:marBottom w:val="0"/>
          <w:divBdr>
            <w:top w:val="none" w:sz="0" w:space="0" w:color="auto"/>
            <w:left w:val="none" w:sz="0" w:space="0" w:color="auto"/>
            <w:bottom w:val="none" w:sz="0" w:space="0" w:color="auto"/>
            <w:right w:val="none" w:sz="0" w:space="0" w:color="auto"/>
          </w:divBdr>
        </w:div>
        <w:div w:id="1471748145">
          <w:marLeft w:val="1166"/>
          <w:marRight w:val="0"/>
          <w:marTop w:val="0"/>
          <w:marBottom w:val="0"/>
          <w:divBdr>
            <w:top w:val="none" w:sz="0" w:space="0" w:color="auto"/>
            <w:left w:val="none" w:sz="0" w:space="0" w:color="auto"/>
            <w:bottom w:val="none" w:sz="0" w:space="0" w:color="auto"/>
            <w:right w:val="none" w:sz="0" w:space="0" w:color="auto"/>
          </w:divBdr>
        </w:div>
        <w:div w:id="881331011">
          <w:marLeft w:val="1166"/>
          <w:marRight w:val="0"/>
          <w:marTop w:val="0"/>
          <w:marBottom w:val="0"/>
          <w:divBdr>
            <w:top w:val="none" w:sz="0" w:space="0" w:color="auto"/>
            <w:left w:val="none" w:sz="0" w:space="0" w:color="auto"/>
            <w:bottom w:val="none" w:sz="0" w:space="0" w:color="auto"/>
            <w:right w:val="none" w:sz="0" w:space="0" w:color="auto"/>
          </w:divBdr>
        </w:div>
        <w:div w:id="1129401461">
          <w:marLeft w:val="1166"/>
          <w:marRight w:val="0"/>
          <w:marTop w:val="0"/>
          <w:marBottom w:val="0"/>
          <w:divBdr>
            <w:top w:val="none" w:sz="0" w:space="0" w:color="auto"/>
            <w:left w:val="none" w:sz="0" w:space="0" w:color="auto"/>
            <w:bottom w:val="none" w:sz="0" w:space="0" w:color="auto"/>
            <w:right w:val="none" w:sz="0" w:space="0" w:color="auto"/>
          </w:divBdr>
        </w:div>
        <w:div w:id="1043481656">
          <w:marLeft w:val="547"/>
          <w:marRight w:val="0"/>
          <w:marTop w:val="0"/>
          <w:marBottom w:val="0"/>
          <w:divBdr>
            <w:top w:val="none" w:sz="0" w:space="0" w:color="auto"/>
            <w:left w:val="none" w:sz="0" w:space="0" w:color="auto"/>
            <w:bottom w:val="none" w:sz="0" w:space="0" w:color="auto"/>
            <w:right w:val="none" w:sz="0" w:space="0" w:color="auto"/>
          </w:divBdr>
        </w:div>
        <w:div w:id="578176770">
          <w:marLeft w:val="1166"/>
          <w:marRight w:val="0"/>
          <w:marTop w:val="0"/>
          <w:marBottom w:val="0"/>
          <w:divBdr>
            <w:top w:val="none" w:sz="0" w:space="0" w:color="auto"/>
            <w:left w:val="none" w:sz="0" w:space="0" w:color="auto"/>
            <w:bottom w:val="none" w:sz="0" w:space="0" w:color="auto"/>
            <w:right w:val="none" w:sz="0" w:space="0" w:color="auto"/>
          </w:divBdr>
        </w:div>
        <w:div w:id="1747339085">
          <w:marLeft w:val="1166"/>
          <w:marRight w:val="0"/>
          <w:marTop w:val="0"/>
          <w:marBottom w:val="0"/>
          <w:divBdr>
            <w:top w:val="none" w:sz="0" w:space="0" w:color="auto"/>
            <w:left w:val="none" w:sz="0" w:space="0" w:color="auto"/>
            <w:bottom w:val="none" w:sz="0" w:space="0" w:color="auto"/>
            <w:right w:val="none" w:sz="0" w:space="0" w:color="auto"/>
          </w:divBdr>
        </w:div>
        <w:div w:id="1604529118">
          <w:marLeft w:val="547"/>
          <w:marRight w:val="0"/>
          <w:marTop w:val="0"/>
          <w:marBottom w:val="0"/>
          <w:divBdr>
            <w:top w:val="none" w:sz="0" w:space="0" w:color="auto"/>
            <w:left w:val="none" w:sz="0" w:space="0" w:color="auto"/>
            <w:bottom w:val="none" w:sz="0" w:space="0" w:color="auto"/>
            <w:right w:val="none" w:sz="0" w:space="0" w:color="auto"/>
          </w:divBdr>
        </w:div>
        <w:div w:id="1809084971">
          <w:marLeft w:val="547"/>
          <w:marRight w:val="0"/>
          <w:marTop w:val="0"/>
          <w:marBottom w:val="0"/>
          <w:divBdr>
            <w:top w:val="none" w:sz="0" w:space="0" w:color="auto"/>
            <w:left w:val="none" w:sz="0" w:space="0" w:color="auto"/>
            <w:bottom w:val="none" w:sz="0" w:space="0" w:color="auto"/>
            <w:right w:val="none" w:sz="0" w:space="0" w:color="auto"/>
          </w:divBdr>
        </w:div>
        <w:div w:id="1291477075">
          <w:marLeft w:val="1166"/>
          <w:marRight w:val="0"/>
          <w:marTop w:val="0"/>
          <w:marBottom w:val="0"/>
          <w:divBdr>
            <w:top w:val="none" w:sz="0" w:space="0" w:color="auto"/>
            <w:left w:val="none" w:sz="0" w:space="0" w:color="auto"/>
            <w:bottom w:val="none" w:sz="0" w:space="0" w:color="auto"/>
            <w:right w:val="none" w:sz="0" w:space="0" w:color="auto"/>
          </w:divBdr>
        </w:div>
        <w:div w:id="1301032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publication/implementing-lynch-syndrome-testing-and-surveillance-pathw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partners.nhs.uk/lynch-syndrome-early-diagnosis-pathway-endometrial/" TargetMode="External"/><Relationship Id="rId5" Type="http://schemas.openxmlformats.org/officeDocument/2006/relationships/hyperlink" Target="https://rmpartners.nhs.uk/lynch-syndrome-early-diagnosis-pathw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LNWH NHS Trust</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Monahan</dc:creator>
  <cp:lastModifiedBy>MONJE-GARCIA, Laura (LONDON NORTH WEST UNIVERSITY HEALTHCARE NHS TRUST)</cp:lastModifiedBy>
  <cp:revision>2</cp:revision>
  <dcterms:created xsi:type="dcterms:W3CDTF">2022-03-17T11:25:00Z</dcterms:created>
  <dcterms:modified xsi:type="dcterms:W3CDTF">2022-03-17T11:25:00Z</dcterms:modified>
</cp:coreProperties>
</file>